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873B9" w14:textId="77777777" w:rsidR="001F7922" w:rsidRPr="00EB00E7" w:rsidRDefault="00D666F6" w:rsidP="00EB00E7">
      <w:pPr>
        <w:pStyle w:val="BodyText"/>
        <w:spacing w:before="105"/>
        <w:ind w:right="91"/>
        <w:jc w:val="center"/>
        <w:rPr>
          <w:rFonts w:ascii="Arial"/>
        </w:rPr>
      </w:pPr>
      <w:bookmarkStart w:id="0" w:name="_GoBack"/>
      <w:bookmarkEnd w:id="0"/>
      <w:r>
        <w:rPr>
          <w:noProof/>
          <w:sz w:val="48"/>
          <w:lang w:val="en-GB" w:eastAsia="en-GB"/>
        </w:rPr>
        <w:drawing>
          <wp:anchor distT="0" distB="0" distL="114300" distR="114300" simplePos="0" relativeHeight="251659264" behindDoc="1" locked="0" layoutInCell="1" allowOverlap="1" wp14:anchorId="18CC3A94" wp14:editId="6DF00658">
            <wp:simplePos x="0" y="0"/>
            <wp:positionH relativeFrom="column">
              <wp:posOffset>73924</wp:posOffset>
            </wp:positionH>
            <wp:positionV relativeFrom="paragraph">
              <wp:posOffset>236675</wp:posOffset>
            </wp:positionV>
            <wp:extent cx="440690" cy="440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55">
        <w:rPr>
          <w:b/>
          <w:noProof/>
          <w:color w:val="FFFFFF"/>
          <w:w w:val="90"/>
          <w:sz w:val="48"/>
          <w:lang w:val="en-GB" w:eastAsia="en-GB"/>
        </w:rPr>
        <w:drawing>
          <wp:inline distT="0" distB="0" distL="0" distR="0" wp14:anchorId="2C306238" wp14:editId="5734C8BF">
            <wp:extent cx="11512550" cy="5886450"/>
            <wp:effectExtent l="0" t="190500" r="0" b="55245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EB00E7">
        <w:rPr>
          <w:rFonts w:ascii="Arial"/>
          <w:color w:val="FFFFFF"/>
        </w:rPr>
        <w:t xml:space="preserve">- </w:t>
      </w:r>
    </w:p>
    <w:sectPr w:rsidR="001F7922" w:rsidRPr="00EB00E7" w:rsidSect="001F7922">
      <w:pgSz w:w="19200" w:h="10800" w:orient="landscape"/>
      <w:pgMar w:top="16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A276D"/>
    <w:rsid w:val="000E2055"/>
    <w:rsid w:val="00135212"/>
    <w:rsid w:val="001A628C"/>
    <w:rsid w:val="001A7705"/>
    <w:rsid w:val="001F7922"/>
    <w:rsid w:val="0020522C"/>
    <w:rsid w:val="00391F78"/>
    <w:rsid w:val="00524A37"/>
    <w:rsid w:val="00697DE9"/>
    <w:rsid w:val="00790157"/>
    <w:rsid w:val="0086541F"/>
    <w:rsid w:val="008C7F1F"/>
    <w:rsid w:val="008E1FF9"/>
    <w:rsid w:val="008F21A3"/>
    <w:rsid w:val="00AC1ACF"/>
    <w:rsid w:val="00C71046"/>
    <w:rsid w:val="00D666F6"/>
    <w:rsid w:val="00E76497"/>
    <w:rsid w:val="00EB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9504"/>
  <w15:docId w15:val="{84AE6E9C-6ADB-4573-8FCF-0314DE2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135212"/>
    <w:rPr>
      <w:rFonts w:ascii="Tahoma" w:hAnsi="Tahoma" w:cs="Tahoma"/>
      <w:sz w:val="16"/>
      <w:szCs w:val="16"/>
    </w:rPr>
  </w:style>
  <w:style w:type="character" w:customStyle="1" w:styleId="BalloonTextChar">
    <w:name w:val="Balloon Text Char"/>
    <w:basedOn w:val="DefaultParagraphFont"/>
    <w:link w:val="BalloonText"/>
    <w:uiPriority w:val="99"/>
    <w:semiHidden/>
    <w:rsid w:val="0013521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300" b="0" i="0"/>
            <a: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enables pupils both to acquire knowledge and to build on what they already know. All the skills of language are essential to participating fully as a member of society; pupils who do not learn to speak, read and write fluently and confidently are effectively disenfranchised.</a:t>
          </a:r>
          <a:endParaRPr lang="en-US" sz="13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English </a:t>
          </a:r>
          <a:endParaRPr lang="en-GB" sz="1400"/>
        </a:p>
        <a:p>
          <a:r>
            <a:rPr lang="en-US" sz="1400" b="1"/>
            <a:t>Mindsets</a:t>
          </a:r>
          <a:endParaRPr lang="en-GB" sz="1400"/>
        </a:p>
        <a:p>
          <a:r>
            <a:rPr lang="en-GB" sz="1400">
              <a:solidFill>
                <a:schemeClr val="bg1"/>
              </a:solidFill>
            </a:rPr>
            <a:t>Enquiry</a:t>
          </a:r>
        </a:p>
        <a:p>
          <a:r>
            <a:rPr lang="en-GB" sz="1400">
              <a:solidFill>
                <a:schemeClr val="bg1"/>
              </a:solidFill>
            </a:rPr>
            <a:t>Questioning</a:t>
          </a:r>
        </a:p>
        <a:p>
          <a:r>
            <a:rPr lang="en-GB" sz="1400">
              <a:solidFill>
                <a:schemeClr val="bg1"/>
              </a:solidFill>
            </a:rPr>
            <a:t>Thinking critically</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a:t>
          </a:r>
        </a:p>
        <a:p>
          <a:r>
            <a:rPr lang="en-US" sz="1400" b="0"/>
            <a:t>Spoken  language</a:t>
          </a:r>
        </a:p>
        <a:p>
          <a:r>
            <a:rPr lang="en-US" sz="1400" b="0"/>
            <a:t>Reading</a:t>
          </a:r>
        </a:p>
        <a:p>
          <a:r>
            <a:rPr lang="en-US" sz="1400" b="0"/>
            <a:t>Writing &amp; Editing</a:t>
          </a:r>
        </a:p>
        <a:p>
          <a:r>
            <a:rPr lang="en-US" sz="1400" b="0"/>
            <a:t>Spelling, gramar, punctuation, vocabulary </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endParaRPr lang="en-US" sz="1400" b="1"/>
        </a:p>
        <a:p>
          <a:r>
            <a:rPr lang="en-US" sz="1400" b="1"/>
            <a:t>Systems</a:t>
          </a:r>
        </a:p>
        <a:p>
          <a:r>
            <a:rPr lang="en-US" sz="1400"/>
            <a:t>Medium term plans</a:t>
          </a:r>
        </a:p>
        <a:p>
          <a:r>
            <a:rPr lang="en-US" sz="1400">
              <a:solidFill>
                <a:schemeClr val="bg1"/>
              </a:solidFill>
            </a:rPr>
            <a:t>Topic Covers</a:t>
          </a:r>
        </a:p>
        <a:p>
          <a:r>
            <a:rPr lang="en-US" sz="1400">
              <a:solidFill>
                <a:schemeClr val="bg1"/>
              </a:solidFill>
            </a:rPr>
            <a:t>Role of TAs</a:t>
          </a:r>
        </a:p>
        <a:p>
          <a:r>
            <a:rPr lang="en-US" sz="1400">
              <a:solidFill>
                <a:schemeClr val="bg1"/>
              </a:solidFill>
            </a:rPr>
            <a:t>Supprt and challenge</a:t>
          </a:r>
        </a:p>
        <a:p>
          <a:r>
            <a:rPr lang="en-US" sz="1400">
              <a:solidFill>
                <a:schemeClr val="bg1"/>
              </a:solidFill>
            </a:rPr>
            <a:t>Retrieval of prior learning</a:t>
          </a:r>
        </a:p>
        <a:p>
          <a:r>
            <a:rPr lang="en-US" sz="1400">
              <a:solidFill>
                <a:schemeClr val="bg1"/>
              </a:solidFill>
            </a:rPr>
            <a:t>Assessment and tracking</a:t>
          </a:r>
        </a:p>
        <a:p>
          <a:endParaRPr lang="en-US" sz="1000"/>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300" b="1">
              <a:solidFill>
                <a:schemeClr val="bg1"/>
              </a:solidFill>
            </a:rPr>
            <a:t>English  P</a:t>
          </a:r>
          <a:r>
            <a:rPr lang="en-GB" sz="1300" b="1">
              <a:solidFill>
                <a:schemeClr val="bg1"/>
              </a:solidFill>
            </a:rPr>
            <a:t>roficiency: </a:t>
          </a:r>
        </a:p>
        <a:p>
          <a:r>
            <a:rPr lang="en-GB" sz="1300" b="0" i="0">
              <a:solidFill>
                <a:schemeClr val="bg1"/>
              </a:solidFill>
            </a:rPr>
            <a:t>Read widely and often, easily, fluently and with good understanding</a:t>
          </a:r>
        </a:p>
        <a:p>
          <a:r>
            <a:rPr lang="en-GB" sz="1300" b="0" i="0">
              <a:solidFill>
                <a:schemeClr val="bg1"/>
              </a:solidFill>
            </a:rPr>
            <a:t>Acquire a wide vocabulary, and understanding of punctuation, spelling and grammar </a:t>
          </a:r>
        </a:p>
        <a:p>
          <a:r>
            <a:rPr lang="en-GB" sz="1300" b="0" i="0">
              <a:solidFill>
                <a:schemeClr val="bg1"/>
              </a:solidFill>
            </a:rPr>
            <a:t>Appreciate a rich and varied literary heritage</a:t>
          </a:r>
        </a:p>
        <a:p>
          <a:r>
            <a:rPr lang="en-GB" sz="1300" b="0" i="0">
              <a:solidFill>
                <a:schemeClr val="bg1"/>
              </a:solidFill>
            </a:rPr>
            <a:t>Write clearly, accurately and coherently, adapting to fit a range of contexts, purposes and audiences</a:t>
          </a:r>
        </a:p>
        <a:p>
          <a:r>
            <a:rPr lang="en-GB" sz="1300" b="0" i="0">
              <a:solidFill>
                <a:schemeClr val="bg1"/>
              </a:solidFill>
            </a:rPr>
            <a:t>Competent in the arts of speaking and listening</a:t>
          </a:r>
          <a:endParaRPr lang="en-GB" sz="1400" b="1">
            <a:solidFill>
              <a:schemeClr val="bg1"/>
            </a:solidFill>
          </a:endParaRPr>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14951" custScaleY="110685" custLinFactNeighborX="9095" custLinFactNeighborY="2865">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43828" custLinFactY="73098" custLinFactNeighborX="-300000" custLinFactNeighborY="100000"/>
      <dgm:spPr/>
    </dgm:pt>
    <dgm:pt modelId="{A6DF044A-3129-4A11-A089-526B77EF06A0}" type="pres">
      <dgm:prSet presAssocID="{E357E1A0-91BA-4BBD-983C-7FD0896B175B}" presName="Accent2" presStyleLbl="node1" presStyleIdx="1" presStyleCnt="17" custLinFactX="276106" custLinFactY="110230" custLinFactNeighborX="300000" custLinFactNeighborY="200000"/>
      <dgm:spPr/>
    </dgm:pt>
    <dgm:pt modelId="{BC006920-952D-4C21-AFE1-045742471F7D}" type="pres">
      <dgm:prSet presAssocID="{E357E1A0-91BA-4BBD-983C-7FD0896B175B}" presName="Accent3" presStyleLbl="node1" presStyleIdx="2" presStyleCnt="17" custLinFactX="45463" custLinFactY="-100000" custLinFactNeighborX="100000" custLinFactNeighborY="-108140"/>
      <dgm:spPr/>
    </dgm:pt>
    <dgm:pt modelId="{B83EA187-FFF5-4A26-9355-7A01F21D38FD}" type="pres">
      <dgm:prSet presAssocID="{E357E1A0-91BA-4BBD-983C-7FD0896B175B}" presName="Accent4" presStyleLbl="node1" presStyleIdx="3" presStyleCnt="17" custLinFactY="67306" custLinFactNeighborX="-43378" custLinFactNeighborY="100000"/>
      <dgm:spPr/>
    </dgm:pt>
    <dgm:pt modelId="{2DAAA25A-5576-40BF-8B99-21B1D4D94F47}" type="pres">
      <dgm:prSet presAssocID="{E357E1A0-91BA-4BBD-983C-7FD0896B175B}" presName="Accent5" presStyleLbl="node1" presStyleIdx="4" presStyleCnt="17" custLinFactX="-200000" custLinFactY="-31289" custLinFactNeighborX="-297899" custLinFactNeighborY="-100000"/>
      <dgm:spPr/>
    </dgm:pt>
    <dgm:pt modelId="{462715AC-AB24-4281-BD05-1140DCB5873B}" type="pres">
      <dgm:prSet presAssocID="{E357E1A0-91BA-4BBD-983C-7FD0896B175B}" presName="Accent6" presStyleLbl="node1" presStyleIdx="5" presStyleCnt="17" custLinFactX="-100000" custLinFactNeighborX="-177505" custLinFactNeighborY="75912"/>
      <dgm:spPr/>
    </dgm:pt>
    <dgm:pt modelId="{D427CFDD-7C29-469B-84E2-95DD3D3AB25F}" type="pres">
      <dgm:prSet presAssocID="{8BBBB69D-85CC-4A68-ACC3-69D22BBE0398}" presName="Child1" presStyleLbl="node1" presStyleIdx="6" presStyleCnt="17" custScaleX="143221" custScaleY="138209" custLinFactNeighborX="-67693" custLinFactNeighborY="-21377">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48703" custLinFactY="-35630" custLinFactNeighborX="-20000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NeighborX="-55471" custLinFactNeighborY="-64914"/>
      <dgm:spPr/>
    </dgm:pt>
    <dgm:pt modelId="{2D0CF026-087A-41F2-9140-B8AD569794C4}" type="pres">
      <dgm:prSet presAssocID="{0A09E42E-C900-47B5-8804-1BA7D8F76994}" presName="Child2" presStyleLbl="node1" presStyleIdx="9" presStyleCnt="17" custScaleX="165749" custScaleY="157713" custLinFactNeighborX="77589" custLinFactNeighborY="38796">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34954" custLinFactY="-32401" custLinFactNeighborX="100000"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X="-95859" custLinFactY="-155173" custLinFactNeighborX="-100000" custLinFactNeighborY="-2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100000" custLinFactY="102458" custLinFactNeighborX="168066" custLinFactNeighborY="200000"/>
      <dgm:spPr/>
    </dgm:pt>
    <dgm:pt modelId="{B7D53200-84AA-4BE6-BE2D-46F2C3191554}" type="pres">
      <dgm:prSet presAssocID="{4DB2DEF1-2D14-44CB-91D9-9DD935BFF3DA}" presName="Child3" presStyleLbl="node1" presStyleIdx="13" presStyleCnt="17" custScaleX="183085" custScaleY="178549" custLinFactNeighborX="-31785" custLinFactNeighborY="53607">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95239" custLinFactNeighborX="-21586" custLinFactNeighborY="-200000"/>
      <dgm:spPr/>
    </dgm:pt>
    <dgm:pt modelId="{41CC3E82-E2DF-4739-96AC-5C061E82182D}" type="pres">
      <dgm:prSet presAssocID="{1272FDDD-6A18-41D7-852B-6A0AFEADF5B6}" presName="Child4" presStyleLbl="node1" presStyleIdx="15" presStyleCnt="17" custScaleX="222956" custScaleY="204590" custLinFactX="-7856" custLinFactNeighborX="-100000" custLinFactNeighborY="-6276">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Y="23048" custLinFactNeighborX="61486" custLinFactNeighborY="100000"/>
      <dgm:spPr/>
    </dgm:pt>
  </dgm:ptLst>
  <dgm:cxnLst>
    <dgm:cxn modelId="{CAE58265-4218-4856-8A95-80396E9F05FC}" type="presOf" srcId="{E357E1A0-91BA-4BBD-983C-7FD0896B175B}" destId="{42D06469-28FC-4C29-A133-BE84CFE2AD3A}"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05303411-5517-4695-AA66-9E07FDCE6906}" type="presOf" srcId="{4DB2DEF1-2D14-44CB-91D9-9DD935BFF3DA}" destId="{B7D53200-84AA-4BE6-BE2D-46F2C3191554}" srcOrd="0" destOrd="0" presId="urn:microsoft.com/office/officeart/2009/3/layout/CircleRelationship"/>
    <dgm:cxn modelId="{945BEBF2-ECC3-431B-80B8-761340F4E162}"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9922D077-ED4B-4199-B1D4-12DFCA823CDE}" type="presOf" srcId="{8BBBB69D-85CC-4A68-ACC3-69D22BBE0398}" destId="{D427CFDD-7C29-469B-84E2-95DD3D3AB25F}" srcOrd="0" destOrd="0" presId="urn:microsoft.com/office/officeart/2009/3/layout/CircleRelationship"/>
    <dgm:cxn modelId="{52BC27BD-D4D8-4E44-8E05-BF811D721364}" type="presOf" srcId="{1272FDDD-6A18-41D7-852B-6A0AFEADF5B6}" destId="{41CC3E82-E2DF-4739-96AC-5C061E82182D}" srcOrd="0" destOrd="0" presId="urn:microsoft.com/office/officeart/2009/3/layout/CircleRelationship"/>
    <dgm:cxn modelId="{1814F67E-41CE-4B15-B643-9A5B21FB3361}" type="presOf" srcId="{0A09E42E-C900-47B5-8804-1BA7D8F76994}" destId="{2D0CF026-087A-41F2-9140-B8AD569794C4}" srcOrd="0" destOrd="0" presId="urn:microsoft.com/office/officeart/2009/3/layout/CircleRelationship"/>
    <dgm:cxn modelId="{BBDD8361-C219-4F6A-962E-A824CCA20538}" srcId="{E357E1A0-91BA-4BBD-983C-7FD0896B175B}" destId="{4DB2DEF1-2D14-44CB-91D9-9DD935BFF3DA}" srcOrd="2" destOrd="0" parTransId="{48369FBA-238A-4480-AB37-1DD7C0A0D87A}" sibTransId="{EB11E0C3-5CB1-4EBF-87BA-BB50B102C3FE}"/>
    <dgm:cxn modelId="{1FE9EF32-CD68-4AF4-B5F3-7F0353B75B08}" srcId="{E357E1A0-91BA-4BBD-983C-7FD0896B175B}" destId="{0A09E42E-C900-47B5-8804-1BA7D8F76994}" srcOrd="1" destOrd="0" parTransId="{795FD936-FB6F-4092-9F3F-D6F478B404E2}" sibTransId="{EC0B5267-44B2-416F-BB08-87142046CCA3}"/>
    <dgm:cxn modelId="{87CCE7A5-D609-4758-9817-DC3A9496F147}" srcId="{94FCA7C2-6E41-44AE-AF84-80AF4A009A32}" destId="{E357E1A0-91BA-4BBD-983C-7FD0896B175B}" srcOrd="0" destOrd="0" parTransId="{54771946-9F26-43C1-A3C0-9C1C9E76EBB6}" sibTransId="{D42E47B7-AB93-4EA4-A9E4-5A25BCCBA5B1}"/>
    <dgm:cxn modelId="{04EA4FFD-C1E3-49CE-9C12-50C15AAB0BF6}" type="presParOf" srcId="{CF3790C3-76C6-45D2-8E42-52ABDACB68DF}" destId="{42D06469-28FC-4C29-A133-BE84CFE2AD3A}" srcOrd="0" destOrd="0" presId="urn:microsoft.com/office/officeart/2009/3/layout/CircleRelationship"/>
    <dgm:cxn modelId="{A9A1ABFC-6286-444D-ADF9-94AD5314ECDB}" type="presParOf" srcId="{CF3790C3-76C6-45D2-8E42-52ABDACB68DF}" destId="{07AE8073-09B6-44EE-97E3-5B4388A83F6B}" srcOrd="1" destOrd="0" presId="urn:microsoft.com/office/officeart/2009/3/layout/CircleRelationship"/>
    <dgm:cxn modelId="{8F3A67B9-5DC4-4F2E-91EB-12ECD787660F}" type="presParOf" srcId="{CF3790C3-76C6-45D2-8E42-52ABDACB68DF}" destId="{A6DF044A-3129-4A11-A089-526B77EF06A0}" srcOrd="2" destOrd="0" presId="urn:microsoft.com/office/officeart/2009/3/layout/CircleRelationship"/>
    <dgm:cxn modelId="{CB4BA452-7B07-4B1B-9679-7521CF6683F6}" type="presParOf" srcId="{CF3790C3-76C6-45D2-8E42-52ABDACB68DF}" destId="{BC006920-952D-4C21-AFE1-045742471F7D}" srcOrd="3" destOrd="0" presId="urn:microsoft.com/office/officeart/2009/3/layout/CircleRelationship"/>
    <dgm:cxn modelId="{E8C9C62F-8FD9-4D51-89AB-C746CB544A53}" type="presParOf" srcId="{CF3790C3-76C6-45D2-8E42-52ABDACB68DF}" destId="{B83EA187-FFF5-4A26-9355-7A01F21D38FD}" srcOrd="4" destOrd="0" presId="urn:microsoft.com/office/officeart/2009/3/layout/CircleRelationship"/>
    <dgm:cxn modelId="{A5BD194B-2718-4A58-88A5-E9FB781D295D}" type="presParOf" srcId="{CF3790C3-76C6-45D2-8E42-52ABDACB68DF}" destId="{2DAAA25A-5576-40BF-8B99-21B1D4D94F47}" srcOrd="5" destOrd="0" presId="urn:microsoft.com/office/officeart/2009/3/layout/CircleRelationship"/>
    <dgm:cxn modelId="{DAA5AA66-51E6-4502-9C73-D0307511E008}" type="presParOf" srcId="{CF3790C3-76C6-45D2-8E42-52ABDACB68DF}" destId="{462715AC-AB24-4281-BD05-1140DCB5873B}" srcOrd="6" destOrd="0" presId="urn:microsoft.com/office/officeart/2009/3/layout/CircleRelationship"/>
    <dgm:cxn modelId="{0CD6A497-8A62-43B5-8FCA-900EBA434208}" type="presParOf" srcId="{CF3790C3-76C6-45D2-8E42-52ABDACB68DF}" destId="{D427CFDD-7C29-469B-84E2-95DD3D3AB25F}" srcOrd="7" destOrd="0" presId="urn:microsoft.com/office/officeart/2009/3/layout/CircleRelationship"/>
    <dgm:cxn modelId="{92270040-C125-4275-B8E4-94A453F8DEF5}" type="presParOf" srcId="{CF3790C3-76C6-45D2-8E42-52ABDACB68DF}" destId="{270B93AD-904C-495A-B23F-34DD7B6784D0}" srcOrd="8" destOrd="0" presId="urn:microsoft.com/office/officeart/2009/3/layout/CircleRelationship"/>
    <dgm:cxn modelId="{7956D716-2049-4154-B103-E425B29C8593}" type="presParOf" srcId="{270B93AD-904C-495A-B23F-34DD7B6784D0}" destId="{0BB786F5-F3AD-4515-89DD-7CB26B88C0BD}" srcOrd="0" destOrd="0" presId="urn:microsoft.com/office/officeart/2009/3/layout/CircleRelationship"/>
    <dgm:cxn modelId="{29E63CA4-390E-4409-84C8-BCDF64555BA6}" type="presParOf" srcId="{CF3790C3-76C6-45D2-8E42-52ABDACB68DF}" destId="{31652AAD-03C4-44CD-94C4-F22DEFB59C2C}" srcOrd="9" destOrd="0" presId="urn:microsoft.com/office/officeart/2009/3/layout/CircleRelationship"/>
    <dgm:cxn modelId="{DC6F40A1-E75A-45E1-BF5C-F76452CE60B0}" type="presParOf" srcId="{31652AAD-03C4-44CD-94C4-F22DEFB59C2C}" destId="{0EA0455C-FB95-4F27-AAC5-C5EDAA79D5E1}" srcOrd="0" destOrd="0" presId="urn:microsoft.com/office/officeart/2009/3/layout/CircleRelationship"/>
    <dgm:cxn modelId="{AEC60178-09B8-47D9-9EA5-6F6614BE0F6E}" type="presParOf" srcId="{CF3790C3-76C6-45D2-8E42-52ABDACB68DF}" destId="{2D0CF026-087A-41F2-9140-B8AD569794C4}" srcOrd="10" destOrd="0" presId="urn:microsoft.com/office/officeart/2009/3/layout/CircleRelationship"/>
    <dgm:cxn modelId="{967BC82D-C9CD-4BAE-BD25-D075FCB5A18D}" type="presParOf" srcId="{CF3790C3-76C6-45D2-8E42-52ABDACB68DF}" destId="{156E3F7A-B261-471E-BE3E-FECC38E8400B}" srcOrd="11" destOrd="0" presId="urn:microsoft.com/office/officeart/2009/3/layout/CircleRelationship"/>
    <dgm:cxn modelId="{FF7892D4-C034-43DD-A456-B1EF26B92762}" type="presParOf" srcId="{156E3F7A-B261-471E-BE3E-FECC38E8400B}" destId="{E97F5D86-9007-4F52-A15D-CA3AB0A87110}" srcOrd="0" destOrd="0" presId="urn:microsoft.com/office/officeart/2009/3/layout/CircleRelationship"/>
    <dgm:cxn modelId="{3219C0B1-4D18-4187-B650-459408F0C4AB}" type="presParOf" srcId="{CF3790C3-76C6-45D2-8E42-52ABDACB68DF}" destId="{C1527DF1-8332-40C1-B93D-1951D8011A38}" srcOrd="12" destOrd="0" presId="urn:microsoft.com/office/officeart/2009/3/layout/CircleRelationship"/>
    <dgm:cxn modelId="{01BFC259-3342-4F51-A67F-F082859ACC05}" type="presParOf" srcId="{C1527DF1-8332-40C1-B93D-1951D8011A38}" destId="{8FEB21FB-5A4D-4AFD-BFD9-221BF524A3C8}" srcOrd="0" destOrd="0" presId="urn:microsoft.com/office/officeart/2009/3/layout/CircleRelationship"/>
    <dgm:cxn modelId="{525440F3-B45F-4932-AC8A-BBB4DB392180}" type="presParOf" srcId="{CF3790C3-76C6-45D2-8E42-52ABDACB68DF}" destId="{A70BC4B1-A2B4-48FC-9D4B-48663574368C}" srcOrd="13" destOrd="0" presId="urn:microsoft.com/office/officeart/2009/3/layout/CircleRelationship"/>
    <dgm:cxn modelId="{D0273BE6-77E9-4A37-A877-FC0519F33D3E}" type="presParOf" srcId="{A70BC4B1-A2B4-48FC-9D4B-48663574368C}" destId="{E0B70794-FDB2-4570-8F49-E9A59D0820CD}" srcOrd="0" destOrd="0" presId="urn:microsoft.com/office/officeart/2009/3/layout/CircleRelationship"/>
    <dgm:cxn modelId="{4E516BDF-AA1D-44AD-8964-495C61D2684C}" type="presParOf" srcId="{CF3790C3-76C6-45D2-8E42-52ABDACB68DF}" destId="{B7D53200-84AA-4BE6-BE2D-46F2C3191554}" srcOrd="14" destOrd="0" presId="urn:microsoft.com/office/officeart/2009/3/layout/CircleRelationship"/>
    <dgm:cxn modelId="{FD110063-E928-46EC-9B06-BA80EC3B60B2}" type="presParOf" srcId="{CF3790C3-76C6-45D2-8E42-52ABDACB68DF}" destId="{478AB975-B45F-4E8A-8A92-31297D0B3E4B}" srcOrd="15" destOrd="0" presId="urn:microsoft.com/office/officeart/2009/3/layout/CircleRelationship"/>
    <dgm:cxn modelId="{053512E6-6FBC-4CD8-BA3E-2451A45D0F49}" type="presParOf" srcId="{478AB975-B45F-4E8A-8A92-31297D0B3E4B}" destId="{82310E27-FFDD-4FA9-87D1-01EE660BB626}" srcOrd="0" destOrd="0" presId="urn:microsoft.com/office/officeart/2009/3/layout/CircleRelationship"/>
    <dgm:cxn modelId="{7D213CDD-F309-4236-BCB6-307AA64E5E04}" type="presParOf" srcId="{CF3790C3-76C6-45D2-8E42-52ABDACB68DF}" destId="{41CC3E82-E2DF-4739-96AC-5C061E82182D}" srcOrd="16" destOrd="0" presId="urn:microsoft.com/office/officeart/2009/3/layout/CircleRelationship"/>
    <dgm:cxn modelId="{83CBF190-C771-47DF-93B4-61151FD8ED73}" type="presParOf" srcId="{CF3790C3-76C6-45D2-8E42-52ABDACB68DF}" destId="{11159B36-0B7C-401E-9638-7310FC80F252}" srcOrd="17" destOrd="0" presId="urn:microsoft.com/office/officeart/2009/3/layout/CircleRelationship"/>
    <dgm:cxn modelId="{584044D0-06F6-4F91-96F6-36A53A238FF1}"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922351" y="-174189"/>
          <a:ext cx="4535361" cy="4367284"/>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b="0" i="0" kern="1200"/>
            <a: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enables pupils both to acquire knowledge and to build on what they already know. All the skills of language are essential to participating fully as a member of society; pupils who do not learn to speak, read and write fluently and confidently are effectively disenfranchised.</a:t>
          </a:r>
          <a:endParaRPr lang="en-US" sz="1300" kern="1200"/>
        </a:p>
      </dsp:txBody>
      <dsp:txXfrm>
        <a:off x="3586539" y="465385"/>
        <a:ext cx="3206985" cy="3088136"/>
      </dsp:txXfrm>
    </dsp:sp>
    <dsp:sp modelId="{07AE8073-09B6-44EE-97E3-5B4388A83F6B}">
      <dsp:nvSpPr>
        <dsp:cNvPr id="0" name=""/>
        <dsp:cNvSpPr/>
      </dsp:nvSpPr>
      <dsp:spPr>
        <a:xfrm>
          <a:off x="2724472" y="503563"/>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5904034" y="4562229"/>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520726" y="863068"/>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347859" y="4648678"/>
          <a:ext cx="438655" cy="43912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577016" y="0"/>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2276876" y="2428204"/>
          <a:ext cx="318065" cy="31786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192532" y="0"/>
          <a:ext cx="2297391" cy="221695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English </a:t>
          </a:r>
          <a:endParaRPr lang="en-GB" sz="1400" kern="1200"/>
        </a:p>
        <a:p>
          <a:pPr lvl="0" algn="ctr" defTabSz="622300">
            <a:lnSpc>
              <a:spcPct val="90000"/>
            </a:lnSpc>
            <a:spcBef>
              <a:spcPct val="0"/>
            </a:spcBef>
            <a:spcAft>
              <a:spcPct val="35000"/>
            </a:spcAft>
          </a:pPr>
          <a:r>
            <a:rPr lang="en-US" sz="1400" b="1" kern="1200"/>
            <a:t>Mindsets</a:t>
          </a:r>
          <a:endParaRPr lang="en-GB" sz="1400" kern="1200"/>
        </a:p>
        <a:p>
          <a:pPr lvl="0" algn="ctr" defTabSz="622300">
            <a:lnSpc>
              <a:spcPct val="90000"/>
            </a:lnSpc>
            <a:spcBef>
              <a:spcPct val="0"/>
            </a:spcBef>
            <a:spcAft>
              <a:spcPct val="35000"/>
            </a:spcAft>
          </a:pPr>
          <a:r>
            <a:rPr lang="en-GB" sz="1400" kern="1200">
              <a:solidFill>
                <a:schemeClr val="bg1"/>
              </a:solidFill>
            </a:rPr>
            <a:t>Enquiry</a:t>
          </a:r>
        </a:p>
        <a:p>
          <a:pPr lvl="0" algn="ctr" defTabSz="622300">
            <a:lnSpc>
              <a:spcPct val="90000"/>
            </a:lnSpc>
            <a:spcBef>
              <a:spcPct val="0"/>
            </a:spcBef>
            <a:spcAft>
              <a:spcPct val="35000"/>
            </a:spcAft>
          </a:pPr>
          <a:r>
            <a:rPr lang="en-GB" sz="1400" kern="1200">
              <a:solidFill>
                <a:schemeClr val="bg1"/>
              </a:solidFill>
            </a:rPr>
            <a:t>Questioning</a:t>
          </a:r>
        </a:p>
        <a:p>
          <a:pPr lvl="0" algn="ctr" defTabSz="622300">
            <a:lnSpc>
              <a:spcPct val="90000"/>
            </a:lnSpc>
            <a:spcBef>
              <a:spcPct val="0"/>
            </a:spcBef>
            <a:spcAft>
              <a:spcPct val="35000"/>
            </a:spcAft>
          </a:pPr>
          <a:r>
            <a:rPr lang="en-GB" sz="1400" kern="1200">
              <a:solidFill>
                <a:schemeClr val="bg1"/>
              </a:solidFill>
            </a:rPr>
            <a:t>Thinking critically</a:t>
          </a:r>
        </a:p>
      </dsp:txBody>
      <dsp:txXfrm>
        <a:off x="528977" y="324665"/>
        <a:ext cx="1624501" cy="1567622"/>
      </dsp:txXfrm>
    </dsp:sp>
    <dsp:sp modelId="{0BB786F5-F3AD-4515-89DD-7CB26B88C0BD}">
      <dsp:nvSpPr>
        <dsp:cNvPr id="0" name=""/>
        <dsp:cNvSpPr/>
      </dsp:nvSpPr>
      <dsp:spPr>
        <a:xfrm>
          <a:off x="3136887" y="0"/>
          <a:ext cx="438655" cy="43912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1336419" y="2193944"/>
          <a:ext cx="793141" cy="79349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7926662" y="40028"/>
          <a:ext cx="2658760" cy="25298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a:t>
          </a:r>
        </a:p>
        <a:p>
          <a:pPr lvl="0" algn="ctr" defTabSz="622300">
            <a:lnSpc>
              <a:spcPct val="90000"/>
            </a:lnSpc>
            <a:spcBef>
              <a:spcPct val="0"/>
            </a:spcBef>
            <a:spcAft>
              <a:spcPct val="35000"/>
            </a:spcAft>
          </a:pPr>
          <a:r>
            <a:rPr lang="en-US" sz="1400" b="0" kern="1200"/>
            <a:t>Spoken  language</a:t>
          </a:r>
        </a:p>
        <a:p>
          <a:pPr lvl="0" algn="ctr" defTabSz="622300">
            <a:lnSpc>
              <a:spcPct val="90000"/>
            </a:lnSpc>
            <a:spcBef>
              <a:spcPct val="0"/>
            </a:spcBef>
            <a:spcAft>
              <a:spcPct val="35000"/>
            </a:spcAft>
          </a:pPr>
          <a:r>
            <a:rPr lang="en-US" sz="1400" b="0" kern="1200"/>
            <a:t>Reading</a:t>
          </a:r>
        </a:p>
        <a:p>
          <a:pPr lvl="0" algn="ctr" defTabSz="622300">
            <a:lnSpc>
              <a:spcPct val="90000"/>
            </a:lnSpc>
            <a:spcBef>
              <a:spcPct val="0"/>
            </a:spcBef>
            <a:spcAft>
              <a:spcPct val="35000"/>
            </a:spcAft>
          </a:pPr>
          <a:r>
            <a:rPr lang="en-US" sz="1400" b="0" kern="1200"/>
            <a:t>Writing &amp; Editing</a:t>
          </a:r>
        </a:p>
        <a:p>
          <a:pPr lvl="0" algn="ctr" defTabSz="622300">
            <a:lnSpc>
              <a:spcPct val="90000"/>
            </a:lnSpc>
            <a:spcBef>
              <a:spcPct val="0"/>
            </a:spcBef>
            <a:spcAft>
              <a:spcPct val="35000"/>
            </a:spcAft>
          </a:pPr>
          <a:r>
            <a:rPr lang="en-US" sz="1400" b="0" kern="1200"/>
            <a:t>Spelling, gramar, punctuation, vocabulary </a:t>
          </a:r>
        </a:p>
      </dsp:txBody>
      <dsp:txXfrm>
        <a:off x="8316028" y="410510"/>
        <a:ext cx="1880028" cy="1788843"/>
      </dsp:txXfrm>
    </dsp:sp>
    <dsp:sp modelId="{E97F5D86-9007-4F52-A15D-CA3AB0A87110}">
      <dsp:nvSpPr>
        <dsp:cNvPr id="0" name=""/>
        <dsp:cNvSpPr/>
      </dsp:nvSpPr>
      <dsp:spPr>
        <a:xfrm>
          <a:off x="7085130" y="407012"/>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851543" y="2524237"/>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496459" y="4161969"/>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787458" y="2883013"/>
          <a:ext cx="2936844" cy="28640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p>
        <a:p>
          <a:pPr lvl="0" algn="ctr" defTabSz="622300">
            <a:lnSpc>
              <a:spcPct val="90000"/>
            </a:lnSpc>
            <a:spcBef>
              <a:spcPct val="0"/>
            </a:spcBef>
            <a:spcAft>
              <a:spcPct val="35000"/>
            </a:spcAft>
          </a:pPr>
          <a:r>
            <a:rPr lang="en-US" sz="1400" b="1" kern="1200"/>
            <a:t>Systems</a:t>
          </a:r>
        </a:p>
        <a:p>
          <a:pPr lvl="0" algn="ctr" defTabSz="622300">
            <a:lnSpc>
              <a:spcPct val="90000"/>
            </a:lnSpc>
            <a:spcBef>
              <a:spcPct val="0"/>
            </a:spcBef>
            <a:spcAft>
              <a:spcPct val="35000"/>
            </a:spcAft>
          </a:pPr>
          <a:r>
            <a:rPr lang="en-US" sz="1400" kern="1200"/>
            <a:t>Medium term plans</a:t>
          </a:r>
        </a:p>
        <a:p>
          <a:pPr lvl="0" algn="ctr" defTabSz="622300">
            <a:lnSpc>
              <a:spcPct val="90000"/>
            </a:lnSpc>
            <a:spcBef>
              <a:spcPct val="0"/>
            </a:spcBef>
            <a:spcAft>
              <a:spcPct val="35000"/>
            </a:spcAft>
          </a:pPr>
          <a:r>
            <a:rPr lang="en-US" sz="1400" kern="1200">
              <a:solidFill>
                <a:schemeClr val="bg1"/>
              </a:solidFill>
            </a:rPr>
            <a:t>Topic Covers</a:t>
          </a:r>
        </a:p>
        <a:p>
          <a:pPr lvl="0" algn="ctr" defTabSz="622300">
            <a:lnSpc>
              <a:spcPct val="90000"/>
            </a:lnSpc>
            <a:spcBef>
              <a:spcPct val="0"/>
            </a:spcBef>
            <a:spcAft>
              <a:spcPct val="35000"/>
            </a:spcAft>
          </a:pPr>
          <a:r>
            <a:rPr lang="en-US" sz="1400" kern="1200">
              <a:solidFill>
                <a:schemeClr val="bg1"/>
              </a:solidFill>
            </a:rPr>
            <a:t>Role of TAs</a:t>
          </a:r>
        </a:p>
        <a:p>
          <a:pPr lvl="0" algn="ctr" defTabSz="622300">
            <a:lnSpc>
              <a:spcPct val="90000"/>
            </a:lnSpc>
            <a:spcBef>
              <a:spcPct val="0"/>
            </a:spcBef>
            <a:spcAft>
              <a:spcPct val="35000"/>
            </a:spcAft>
          </a:pPr>
          <a:r>
            <a:rPr lang="en-US" sz="1400" kern="1200">
              <a:solidFill>
                <a:schemeClr val="bg1"/>
              </a:solidFill>
            </a:rPr>
            <a:t>Supprt and challenge</a:t>
          </a:r>
        </a:p>
        <a:p>
          <a:pPr lvl="0" algn="ctr" defTabSz="622300">
            <a:lnSpc>
              <a:spcPct val="90000"/>
            </a:lnSpc>
            <a:spcBef>
              <a:spcPct val="0"/>
            </a:spcBef>
            <a:spcAft>
              <a:spcPct val="35000"/>
            </a:spcAft>
          </a:pPr>
          <a:r>
            <a:rPr lang="en-US" sz="1400" kern="1200">
              <a:solidFill>
                <a:schemeClr val="bg1"/>
              </a:solidFill>
            </a:rPr>
            <a:t>Retrieval of prior learning</a:t>
          </a:r>
        </a:p>
        <a:p>
          <a:pPr lvl="0" algn="ctr" defTabSz="622300">
            <a:lnSpc>
              <a:spcPct val="90000"/>
            </a:lnSpc>
            <a:spcBef>
              <a:spcPct val="0"/>
            </a:spcBef>
            <a:spcAft>
              <a:spcPct val="35000"/>
            </a:spcAft>
          </a:pPr>
          <a:r>
            <a:rPr lang="en-US" sz="1400" kern="1200">
              <a:solidFill>
                <a:schemeClr val="bg1"/>
              </a:solidFill>
            </a:rPr>
            <a:t>Assessment and tracking</a:t>
          </a: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7217549" y="3302440"/>
        <a:ext cx="2076662" cy="2025174"/>
      </dsp:txXfrm>
    </dsp:sp>
    <dsp:sp modelId="{82310E27-FFDD-4FA9-87D1-01EE660BB626}">
      <dsp:nvSpPr>
        <dsp:cNvPr id="0" name=""/>
        <dsp:cNvSpPr/>
      </dsp:nvSpPr>
      <dsp:spPr>
        <a:xfrm>
          <a:off x="7442623" y="1340850"/>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643162" y="3086319"/>
          <a:ext cx="3576410" cy="3281741"/>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chemeClr val="bg1"/>
              </a:solidFill>
            </a:rPr>
            <a:t>English  P</a:t>
          </a:r>
          <a:r>
            <a:rPr lang="en-GB" sz="1300" b="1" kern="1200">
              <a:solidFill>
                <a:schemeClr val="bg1"/>
              </a:solidFill>
            </a:rPr>
            <a:t>roficiency: </a:t>
          </a:r>
        </a:p>
        <a:p>
          <a:pPr lvl="0" algn="ctr" defTabSz="577850">
            <a:lnSpc>
              <a:spcPct val="90000"/>
            </a:lnSpc>
            <a:spcBef>
              <a:spcPct val="0"/>
            </a:spcBef>
            <a:spcAft>
              <a:spcPct val="35000"/>
            </a:spcAft>
          </a:pPr>
          <a:r>
            <a:rPr lang="en-GB" sz="1300" b="0" i="0" kern="1200">
              <a:solidFill>
                <a:schemeClr val="bg1"/>
              </a:solidFill>
            </a:rPr>
            <a:t>Read widely and often, easily, fluently and with good understanding</a:t>
          </a:r>
        </a:p>
        <a:p>
          <a:pPr lvl="0" algn="ctr" defTabSz="577850">
            <a:lnSpc>
              <a:spcPct val="90000"/>
            </a:lnSpc>
            <a:spcBef>
              <a:spcPct val="0"/>
            </a:spcBef>
            <a:spcAft>
              <a:spcPct val="35000"/>
            </a:spcAft>
          </a:pPr>
          <a:r>
            <a:rPr lang="en-GB" sz="1300" b="0" i="0" kern="1200">
              <a:solidFill>
                <a:schemeClr val="bg1"/>
              </a:solidFill>
            </a:rPr>
            <a:t>Acquire a wide vocabulary, and understanding of punctuation, spelling and grammar </a:t>
          </a:r>
        </a:p>
        <a:p>
          <a:pPr lvl="0" algn="ctr" defTabSz="577850">
            <a:lnSpc>
              <a:spcPct val="90000"/>
            </a:lnSpc>
            <a:spcBef>
              <a:spcPct val="0"/>
            </a:spcBef>
            <a:spcAft>
              <a:spcPct val="35000"/>
            </a:spcAft>
          </a:pPr>
          <a:r>
            <a:rPr lang="en-GB" sz="1300" b="0" i="0" kern="1200">
              <a:solidFill>
                <a:schemeClr val="bg1"/>
              </a:solidFill>
            </a:rPr>
            <a:t>Appreciate a rich and varied literary heritage</a:t>
          </a:r>
        </a:p>
        <a:p>
          <a:pPr lvl="0" algn="ctr" defTabSz="577850">
            <a:lnSpc>
              <a:spcPct val="90000"/>
            </a:lnSpc>
            <a:spcBef>
              <a:spcPct val="0"/>
            </a:spcBef>
            <a:spcAft>
              <a:spcPct val="35000"/>
            </a:spcAft>
          </a:pPr>
          <a:r>
            <a:rPr lang="en-GB" sz="1300" b="0" i="0" kern="1200">
              <a:solidFill>
                <a:schemeClr val="bg1"/>
              </a:solidFill>
            </a:rPr>
            <a:t>Write clearly, accurately and coherently, adapting to fit a range of contexts, purposes and audiences</a:t>
          </a:r>
        </a:p>
        <a:p>
          <a:pPr lvl="0" algn="ctr" defTabSz="577850">
            <a:lnSpc>
              <a:spcPct val="90000"/>
            </a:lnSpc>
            <a:spcBef>
              <a:spcPct val="0"/>
            </a:spcBef>
            <a:spcAft>
              <a:spcPct val="35000"/>
            </a:spcAft>
          </a:pPr>
          <a:r>
            <a:rPr lang="en-GB" sz="1300" b="0" i="0" kern="1200">
              <a:solidFill>
                <a:schemeClr val="bg1"/>
              </a:solidFill>
            </a:rPr>
            <a:t>Competent in the arts of speaking and listening</a:t>
          </a:r>
          <a:endParaRPr lang="en-GB" sz="1400" b="1" kern="1200">
            <a:solidFill>
              <a:schemeClr val="bg1"/>
            </a:solidFill>
          </a:endParaRPr>
        </a:p>
      </dsp:txBody>
      <dsp:txXfrm>
        <a:off x="1166915" y="3566919"/>
        <a:ext cx="2528904" cy="2320541"/>
      </dsp:txXfrm>
    </dsp:sp>
    <dsp:sp modelId="{D320D7FA-9E1A-462D-8B27-F3B630E2A1FB}">
      <dsp:nvSpPr>
        <dsp:cNvPr id="0" name=""/>
        <dsp:cNvSpPr/>
      </dsp:nvSpPr>
      <dsp:spPr>
        <a:xfrm>
          <a:off x="4987505" y="4362806"/>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NAACE Agreement</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CHornsby</cp:lastModifiedBy>
  <cp:revision>2</cp:revision>
  <cp:lastPrinted>2020-02-28T09:59:00Z</cp:lastPrinted>
  <dcterms:created xsi:type="dcterms:W3CDTF">2020-11-26T16:18:00Z</dcterms:created>
  <dcterms:modified xsi:type="dcterms:W3CDTF">2020-11-26T16:18:00Z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ies>
</file>